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LineNumbers/>
        <w:tabs>
          <w:tab w:val="clear" w:pos="643"/>
          <w:tab w:val="left" w:pos="0" w:leader="none"/>
        </w:tabs>
        <w:suppressAutoHyphens w:val="true"/>
        <w:bidi w:val="0"/>
        <w:spacing w:lineRule="exact" w:line="240" w:before="0" w:after="0"/>
        <w:ind w:hanging="0" w:left="5280" w:right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643"/>
          <w:tab w:val="left" w:pos="0" w:leader="none"/>
        </w:tabs>
        <w:spacing w:lineRule="auto" w:line="276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643"/>
          <w:tab w:val="left" w:pos="0" w:leader="none"/>
        </w:tabs>
        <w:spacing w:lineRule="auto" w:line="276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 xml:space="preserve">О производственном травматизме </w:t>
      </w:r>
    </w:p>
    <w:p>
      <w:pPr>
        <w:pStyle w:val="Normal"/>
        <w:tabs>
          <w:tab w:val="clear" w:pos="643"/>
          <w:tab w:val="left" w:pos="0" w:leader="none"/>
        </w:tabs>
        <w:spacing w:lineRule="auto" w:line="276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в Пермском крае за 6 месяцев 2025 года</w:t>
      </w:r>
    </w:p>
    <w:p>
      <w:pPr>
        <w:pStyle w:val="Normal"/>
        <w:tabs>
          <w:tab w:val="clear" w:pos="643"/>
          <w:tab w:val="left" w:pos="0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  <w:t>По информации Отделения Фонда пенсионного</w:t>
        <w:br/>
        <w:t>и социального страхования Российской Федерации по Пермскому краю</w:t>
        <w:br/>
        <w:t>(по состоянию на 02.07.2025) по результатам проведенной экспертизы материалов расследований несчастных случаев за 6 месяцев 2025 года признаны страховыми 248 несчастных случаев на производстве</w:t>
        <w:br/>
        <w:t xml:space="preserve">(за аналогичный период прошлого года (далее – АППГ) 279 несчастных случаев). 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  <w:t>По оперативным данным Государственной инспекции труда в Пермском крае за 6 месяцев 2025 года в организациях региона зарегистрировано</w:t>
        <w:br/>
        <w:t xml:space="preserve">47 несчастных случаев на производстве с тяжелыми последствиями (за АППГ — 51), включая 32 тяжелых несчастных случая (за АППГ — 36 тяжелых несчастных случая), 5 групповых несчастных случая (за АППГ — 4 групповых несчастных случая) и 10 несчастных случаев со смертельным исходом (за АППГ — 11 несчастных случаев со смертельным исходом). </w:t>
        <w:tab/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Наиболее травмоопасными видами экономической деятельности</w:t>
        <w:br/>
        <w:t>за 6 месяцев 2025 года явились: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обрабатывающие производства (21 несчастных случаев с тяжелыми последствиями – 45 %);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строительство (7 несчастных случаев с тяжелыми последствиями – 15 %);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обеспечение электрической энергией, газом и паром (4 несчастных случаев</w:t>
        <w:br/>
        <w:t>с тяжелыми последствиями – 9 %);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торговля оптовая и розничная (3 несчастных случая с тяжелыми последствиями – 6 %).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Из 43 муниципальных образований Пермского края несчастные случаи с тяжелыми последствиями зафиксированы в 14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, из них: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Пермский городской округ – 19 случаев, в т.ч. 4 смертельных, 14 тяжелых</w:t>
        <w:br/>
        <w:t>и 1 групповой;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Пермский муниципальный округ – 6 случаев, в т.ч. 1 смертельный, 4 тяжелых и 1 групповой; 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Муниципальный округ город Березники – 5 случаев, в т.ч. 4 тяжелых</w:t>
        <w:br/>
        <w:t>и 1 групповой;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Соликамский муниципальный округ – 4 случая, в т.ч. 1 смертельный,</w:t>
        <w:br/>
        <w:t>2 тяжелых и 1 групповой;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Чернушинский муниципальный округ – 2 случая, в т.ч. 1 смертельный</w:t>
        <w:br/>
        <w:t>и 1 групповой;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Верещагинский муниципальный округ – 2 тяжелых случая;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Чайковский городской округ – 2 тяжелых случая; 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Александровский муниципальный округ – 1 смертельный случай;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Добрянский муниципальный округ – 1смертельный случай;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Ильинский муниципальный округ — 1 смертельный случай;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Краснокамский муниципальный округ – 1 тяжелый случай;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Красновишерский муниципальный округ – 1 тяжелый случай;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Нытвенский муниципальный округ – 1 тяжелый случай; 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- Частинский муниципальный округ – 1 тяжелый случай.</w:t>
      </w:r>
    </w:p>
    <w:p>
      <w:pPr>
        <w:pStyle w:val="Normal"/>
        <w:tabs>
          <w:tab w:val="clear" w:pos="643"/>
          <w:tab w:val="left" w:pos="0" w:leader="none"/>
        </w:tabs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  <w:t xml:space="preserve">Из материалов завершенных расследований несчастных случаев </w:t>
        <w:br/>
        <w:t xml:space="preserve">с тяжелыми последствиями следует, что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 xml:space="preserve">работники получали травмы </w:t>
        <w:br/>
        <w:t>в результате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падения пострадавшего с высоты – 33 %; 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воздействия движущихся, разлетающихся, вращающихся предметов, деталей, машин и т.д. – 24 %;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падения, обрушения, обвалов предметов, материалов, земли и пр. – 17 %;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воздействия экстремальных температур и других природных факторов — 10 %;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падения на ровной поверхности одного уровня — 7 %;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попадания инородного предмета в тело человека – 3 %;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транспортных происшествий на наземном транспорте — 3 %;</w:t>
      </w:r>
    </w:p>
    <w:p>
      <w:pPr>
        <w:pStyle w:val="Normal"/>
        <w:numPr>
          <w:ilvl w:val="0"/>
          <w:numId w:val="1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воздействия дыма, огня и пламени — 3 %.</w:t>
      </w:r>
    </w:p>
    <w:p>
      <w:pPr>
        <w:pStyle w:val="Normal"/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 xml:space="preserve">Основными причинами несчастных случаев явились: 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неудовлетворительная организация производства работ – 27 %;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нарушение технологического процесса – 24 %;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нарушение работником трудового распорядка и дисциплины труда – </w:t>
        <w:br/>
        <w:t xml:space="preserve">13 %; 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недостатки в организации и проведении подготовки работников по охране труда — 7 %;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неприменение работниками средств индивидуальной защиты – 7 %;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неудовлетворительное техническое состояние зданий, сооружений, территории – 3 %;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несовершенство технологического процесса — 3 %;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нарушение требований безопасности при эксплуатации транспортных средств — 3 %;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нарушение правил дорожного движения — 3 %;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прочие причины, квалифицированные по материалам расследования несчастных случаев, включая неосторожность, невнимательность, поспешность – 10 %.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hanging="0" w:left="0" w:right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  <w:t xml:space="preserve">В структуре несчастных случаев на производстве преобладают несчастные случаи, обусловленные причинами организационного характера.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Из несчастных случаев на производстве с тяжелыми последствиями, происшедших по причине неудовлетворительной организации производства работ, преобладают несчастные случаи причиной которых явились: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дисциплины;</w:t>
      </w:r>
    </w:p>
    <w:p>
      <w:pPr>
        <w:pStyle w:val="ListParagraph"/>
        <w:numPr>
          <w:ilvl w:val="0"/>
          <w:numId w:val="2"/>
        </w:numPr>
        <w:spacing w:lineRule="exact" w:line="360" w:before="0" w:after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недостатки в создании и обеспечении функционирования системы управления охраной труда. </w:t>
      </w:r>
    </w:p>
    <w:p>
      <w:pPr>
        <w:pStyle w:val="ListParagraph"/>
        <w:widowControl/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Кроме того, отдельные несчастные случаи на производстве связаны с нарушением допуска работников к работам с повышенной опасностью.</w:t>
      </w:r>
    </w:p>
    <w:p>
      <w:pPr>
        <w:pStyle w:val="ListParagraph"/>
        <w:widowControl/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Отмечаются также факты неприменения работниками средств индивидуальной защиты, в том числе вследствие необеспеченности ими работодателем, а также недостатки в организации и проведении подготовки работников по охране труда.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связи с вышеизложенным, следует помнить, что на основании статьи 214 Трудового кодекса Российской Федерации (далее — Кодекс) обязанности по обеспечению безопасных условий и охраны труда возлагаются на работодателя.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Работодатель обязан обеспечить: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создание и функционирование системы управления охраной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соответствие каждого рабочего места государственным нормативным требованиям охраны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систематическое выявление опасностей и профессиональных рисков, их регулярный анализ и оценку;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реализацию мероприятий по улучшению условий и охраны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оснащение средствами коллективной защиты;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проведение специальной оценки условий труда в соответствии с законодательством о специальной оценке условий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защиты,…;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абилитации инвалида, а также обеспечение охраны труда.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</w:t>
      </w:r>
    </w:p>
    <w:p>
      <w:pPr>
        <w:pStyle w:val="ListParagraph"/>
        <w:widowControl/>
        <w:numPr>
          <w:ilvl w:val="0"/>
          <w:numId w:val="0"/>
        </w:numPr>
        <w:suppressLineNumbers/>
        <w:suppressAutoHyphens w:val="true"/>
        <w:bidi w:val="0"/>
        <w:spacing w:lineRule="exact" w:line="360"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соответствии со статьей 419 Кодекса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LineNumbers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9b634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c60bf"/>
    <w:rPr/>
  </w:style>
  <w:style w:type="character" w:styleId="Style16" w:customStyle="1">
    <w:name w:val="Нижний колонтитул Знак"/>
    <w:basedOn w:val="DefaultParagraphFont"/>
    <w:uiPriority w:val="99"/>
    <w:qFormat/>
    <w:rsid w:val="00ec60bf"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odyTextIndent">
    <w:name w:val="Body Text Indent"/>
    <w:basedOn w:val="Normal"/>
    <w:link w:val="Style14"/>
    <w:rsid w:val="009b634d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6025b"/>
    <w:pPr>
      <w:spacing w:before="0" w:after="16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ec60bf"/>
    <w:pPr>
      <w:tabs>
        <w:tab w:val="clear" w:pos="643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ec60bf"/>
    <w:pPr>
      <w:tabs>
        <w:tab w:val="clear" w:pos="643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Style18"/>
    <w:next w:val="BodyText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9F74-9E8A-4673-B5B3-DD325E71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Application>LibreOffice/7.6.7.2$Linux_X86_64 LibreOffice_project/60$Build-2</Application>
  <AppVersion>15.0000</AppVersion>
  <Pages>6</Pages>
  <Words>1437</Words>
  <Characters>10156</Characters>
  <CharactersWithSpaces>11572</CharactersWithSpaces>
  <Paragraphs>77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2025-07-22T16:43:00Z</dcterms:created>
  <dc:creator>Сидельников Игорь Игоревич</dc:creator>
  <dc:description/>
  <dc:language>ru-RU</dc:language>
  <cp:lastModifiedBy/>
  <cp:lastPrinted>2025-07-08T17:19:40Z</cp:lastPrinted>
  <dcterms:modified xsi:type="dcterms:W3CDTF">2025-07-29T14:25:33Z</dcterms:modified>
  <cp:revision>123</cp:revision>
  <dc:subject/>
  <dc:title>"Трудовой кодекс Российской Федерации" от 30.12.2001 N 197-ФЗ(ред. от 07.04.2025)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